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D32522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SANTA MARÍA DEL ORO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D32522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32522" w:rsidRDefault="00D32522" w:rsidP="00D32522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NOTAS DE DESGLOSE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03" w:lineRule="exact"/>
              <w:ind w:firstLine="289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Actividades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Ingresos y Otros Beneficios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16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Explicar aquellas cuentas de los rubros que integran los grupos de: Ingresos de Gestión; Participaciones, Aportaciones, Convenios, Incentivos Derivados de la Colaboración Fiscal, Fondos Distintos de Aportaciones, Transferencias, Asignaciones, Subsidios y Subvenciones, y Pensiones y Jubilaciones; y Otros Ingresos y Beneficios, que en lo individual representen el 15% o más del total del rubro al que corresponden.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Gastos y Otras Pérdidas: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16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Explicar aquellas cuentas de los rubros que integran los grupos de: Gastos de Funcionamiento; Transferencias, Subsidios y Otras Ayudas; Participaciones y Aportaciones; Intereses, Comisiones y Otros Gastos de la Deuda Pública; Otros Gastos y Pérdidas Extraordinarias, así como Inversión Pública, que en lo individual representen el 15% o más del total del rubro al que corresponden.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24" w:lineRule="exact"/>
              <w:ind w:firstLine="289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Situación Financiera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03" w:lineRule="exact"/>
              <w:ind w:firstLine="28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Activo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03" w:lineRule="exact"/>
              <w:ind w:firstLine="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Efectivo y Equivalentes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 acerca de los fondos con afectación específica, el tipo y monto de los mismos; de las inversiones temporales se revelará su tipo y monto.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03" w:lineRule="exact"/>
              <w:ind w:firstLine="28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Derechos a recibir Efectivo y Equivalentes y Bienes o Servicios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80" w:line="203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Por tipo de contribución se informará el monto que se encuentre pendiente de cobro y por recuperar de hasta cinco ejercicios anteriores, asimismo se deberán considerar los montos sujetos a algún tipo de juicio con una antigüedad mayor a la señalada y la factibilidad de cobro.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informará, de manera agrupada, los derechos a recibir efectivo y equivalentes, y bienes o servicios, (excepto cuentas por cobrar de contribuciones e inversiones financieras) en una desagregación por su vencimiento en días a 90, 180, menor o igual a 365 y mayor a 365. Adicionalmente, se informará de las características cualitativas relevantes que afecten a estas cuentas.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03" w:lineRule="exact"/>
              <w:ind w:firstLine="28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Inventarios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80" w:line="203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clasificarán como inventarios los bienes disponibles para su transformación. Esta nota aplica para aquellos entes públicos que realicen algún proceso de transformación y/o elaboración de bienes.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En la nota se informará del sistema de costeo y método de valuación aplicados a los inventarios, así como la conveniencia de su aplicación dada la naturaleza de los mismos. Adicionalmente, se revelará el impacto en la información financiera por cambios en el método o sistema.</w:t>
            </w:r>
          </w:p>
          <w:p w:rsidR="00D32522" w:rsidRDefault="00D32522" w:rsidP="00D3252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80" w:line="203" w:lineRule="exact"/>
              <w:ind w:left="284" w:firstLine="425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Almacenes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5.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De la cuenta Almacenes se informará acerca del método de valuación, así como la conveniencia de su aplicación. Adicionalmente, se revelará el impacto en la información financiera por cambios en el método.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Inversiones Financieras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De la cuenta Fideicomisos, Mandatos y Contratos Análogos se informarán los recursos asignados por tipo y monto, y características significativas que tengan o puedan tener alguna incidencia en las mismas.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informarán los saldos e integración de las cuentas: Participaciones y Aportaciones de Capital, Inversiones a Largo Plazo y Títulos y Valores a Largo Plazo.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Bienes Muebles, Inmuebles e Intangibles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 de manera agrupada por cuenta, los rubros de Bienes Muebles e Inmuebles, el monto de la cuenta y de la depreciación del ejercicio y la acumulada, el método de depreciación, tasas determinadas y los criterios de aplicación de los mismos. Asimismo, se informará de las características significativas del estado en que se encuentren los activos.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 de manera agrupada por cuenta, los rubros de activos intangibles y diferidos, su monto y naturaleza, amortización del ejercicio, amortización acumulada, tasa y métodos aplicados.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80" w:line="203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Estimaciones y Deterioros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informarán los criterios utilizados para la determinación de las estimaciones; por ejemplo: estimación de cuentas incobrables, estimación por deterioro de inventarios, deterioro de bienes y cualquier otra que aplique.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Otros Activos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3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De las cuentas de otros activos se informará por tipo circulante o no circulante, los montos totales asociados y sus características cualitativas significativas que les impacten financieramente.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Pasivo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Cuentas y Documentos por pagar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24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elaborará una relación de las cuentas y documentos por pagar en una desagregación por su vencimiento en días a 90, 180, menor o igual a 365 y mayor a 365. Asimismo, se informará sobre la factibilidad del pago de dichos pasivos.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Fondos y Bienes de Terceros en Garantía y/o Administración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24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 de manera agrupada los recursos localizados en Fondos de Bienes de Terceros en Garantía y/o Administración a corto y largo plazo, así como la naturaleza de dichos recursos y sus características cualitativas significativas que les afecten o pudieran afectarles financieramente.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Pasivos Diferidos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240" w:line="224" w:lineRule="exact"/>
              <w:ind w:left="709" w:hanging="425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 de las cuentas de los pasivos diferidos por tipo, monto y naturaleza, así como las características significativas que les impacten o pudieran impactarles financieramente.</w:t>
            </w:r>
          </w:p>
          <w:p w:rsidR="00D32522" w:rsidRDefault="00D32522" w:rsidP="00D32522">
            <w:pPr>
              <w:tabs>
                <w:tab w:val="left" w:pos="723"/>
              </w:tabs>
              <w:autoSpaceDE w:val="0"/>
              <w:autoSpaceDN w:val="0"/>
              <w:adjustRightInd w:val="0"/>
              <w:spacing w:after="120" w:line="224" w:lineRule="exact"/>
              <w:ind w:left="723" w:hanging="43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Provisiones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24" w:lineRule="exact"/>
              <w:ind w:left="726" w:hanging="437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 de las cuentas de provisiones por tipo, monto y naturaleza, así como las características significativas que les impacten.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224" w:lineRule="exact"/>
              <w:ind w:left="723" w:hanging="43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ab/>
              <w:t>Otros Pasivos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0" w:line="224" w:lineRule="exact"/>
              <w:ind w:left="726" w:hanging="437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De las cuentas de otros pasivos se informará por tipo circulante o no circulante, los montos totales y sus características cualitativas significativas que les impacten financieramente.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lastRenderedPageBreak/>
              <w:t>III)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Variación en la Hacienda Pública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 de manera agrupada, acerca de las modificaciones al patrimonio contribuido por tipo, naturaleza y monto.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0" w:line="224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Se informará de manera agrupada, acerca del monto y procedencia de los recursos que modifican al patrimonio generado.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IV)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 xml:space="preserve">Notas al Estado de Flujos de Efectivo </w:t>
            </w: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20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Presentar el análisis de las cifras del periodo actual (20XN) y periodo anterior (20XN-1) del Efectivo y Equivalentes al Efectivo, al Final del Ejercicio del Estado de Flujos de Efectivo, respecto a la composición del rubro de Efectivo y Equivalentes, utilizando el siguiente cuadro: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3115"/>
              <w:gridCol w:w="1013"/>
              <w:gridCol w:w="1058"/>
            </w:tblGrid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1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Efectivo y Equivalentes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20XN</w:t>
                  </w: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20XN-1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Efectivo</w:t>
                  </w:r>
                </w:p>
              </w:tc>
              <w:tc>
                <w:tcPr>
                  <w:tcW w:w="1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Bancos/Tesorería</w:t>
                  </w:r>
                </w:p>
              </w:tc>
              <w:tc>
                <w:tcPr>
                  <w:tcW w:w="1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Bancos/Dependencias y Otros</w:t>
                  </w:r>
                </w:p>
              </w:tc>
              <w:tc>
                <w:tcPr>
                  <w:tcW w:w="1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Inversiones Temporales (Hasta 3 meses) </w:t>
                  </w:r>
                </w:p>
              </w:tc>
              <w:tc>
                <w:tcPr>
                  <w:tcW w:w="1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Fondos con Afectación Específica</w:t>
                  </w:r>
                </w:p>
              </w:tc>
              <w:tc>
                <w:tcPr>
                  <w:tcW w:w="1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Depósitos de Fondos de Terceros en Garantía y/o Administración</w:t>
                  </w:r>
                </w:p>
              </w:tc>
              <w:tc>
                <w:tcPr>
                  <w:tcW w:w="1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Otros Efectivos y Equivalentes</w:t>
                  </w:r>
                </w:p>
              </w:tc>
              <w:tc>
                <w:tcPr>
                  <w:tcW w:w="1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Total</w:t>
                  </w:r>
                </w:p>
              </w:tc>
              <w:tc>
                <w:tcPr>
                  <w:tcW w:w="1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</w:tbl>
          <w:p w:rsidR="00D32522" w:rsidRDefault="00D32522" w:rsidP="00D32522">
            <w:pPr>
              <w:autoSpaceDE w:val="0"/>
              <w:autoSpaceDN w:val="0"/>
              <w:adjustRightInd w:val="0"/>
              <w:spacing w:after="120" w:line="22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2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20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Detallar las adquisiciones de las Actividades de Inversión efectivamente pagadas, respecto del apartado de aplicación.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92"/>
              <w:gridCol w:w="1227"/>
              <w:gridCol w:w="1276"/>
            </w:tblGrid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0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Adquisiciones de Actividades de Inversión efectivamente pagadas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20XN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20XN-1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Bienes Inmuebles, Infraestructura y Construcciones en Proceso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Terrenos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Viviendas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Edificios no Habitacionales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Infraestructura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Construcciones en Proceso en Bienes de Dominio Público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Construcciones en Proceso en Bienes Propios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Otros Bienes Inmuebles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Bienes Muebles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Mobiliario y Equipo Educacional y Recreativo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Colecciones, Obras de Arte y Objetos Valiosos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Otras Inversiones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Total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</w:tbl>
          <w:p w:rsidR="00D32522" w:rsidRDefault="00D32522" w:rsidP="00D32522">
            <w:pPr>
              <w:autoSpaceDE w:val="0"/>
              <w:autoSpaceDN w:val="0"/>
              <w:adjustRightInd w:val="0"/>
              <w:spacing w:after="120" w:line="22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2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2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2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2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2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120" w:line="22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20" w:lineRule="exact"/>
              <w:ind w:left="720" w:hanging="431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Presentar la Conciliación de los Flujos de Efectivo Netos de las Actividades de Operación y los saldos de Resultados del Ejercicio (Ahorro/Desahorro), utilizando el siguiente cuadro: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3177"/>
              <w:gridCol w:w="1148"/>
              <w:gridCol w:w="1134"/>
            </w:tblGrid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45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CONCILIACION DE FLUJOS DE EFECTIVO NETOS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20XN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20XN-1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Resultados del Ejercicio Ahorro/Desahorro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Movimientos de partidas (o rubros) que no afectan al efectivo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Depreciación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Amortización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Incrementos en las provisiones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X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Incremento en inversiones producido por revaluación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(X)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(X)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Ganancia/pérdida en venta de bienes muebles, inmuebles e intangibles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(X)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(X)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Incremento en cuentas por cobrar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(X)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(X)</w:t>
                  </w:r>
                </w:p>
              </w:tc>
            </w:tr>
            <w:tr w:rsidR="00D3252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S" w:eastAsia="es-MX"/>
                    </w:rPr>
                    <w:t>Flujos de Efectivo Netos de las Actividades de Operación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S" w:eastAsia="es-MX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2522" w:rsidRDefault="00D32522" w:rsidP="00D325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S" w:eastAsia="es-MX"/>
                    </w:rPr>
                    <w:t>X</w:t>
                  </w:r>
                </w:p>
              </w:tc>
            </w:tr>
          </w:tbl>
          <w:p w:rsidR="00D32522" w:rsidRDefault="00D32522" w:rsidP="00D32522">
            <w:pPr>
              <w:autoSpaceDE w:val="0"/>
              <w:autoSpaceDN w:val="0"/>
              <w:adjustRightInd w:val="0"/>
              <w:spacing w:after="120" w:line="220" w:lineRule="exact"/>
              <w:ind w:firstLine="289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240" w:line="224" w:lineRule="exact"/>
              <w:ind w:firstLine="289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conceptos incluidos en los movimientos de partidas (o rubros) que no afectan al efectivo, que aparecen en el cuadro anterior son enunciativos y tienen como finalidad mostrar algunos ejemplos para elaborar este cuadro.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240" w:line="224" w:lineRule="exact"/>
              <w:ind w:firstLine="289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V) Conciliación entre los ingresos presupuestarios y contables, así como entre los egresos presupuestarios y los gastos contables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360" w:line="224" w:lineRule="exact"/>
              <w:ind w:firstLine="289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La conciliación se presentará atendiendo a lo dispuesto por el “Acuerdo por el que se emite el formato de conciliación entre los ingresos presupuestarios y contables, así como entre los egresos presupuestarios y los gastos contables” y sus modificaciones.</w:t>
            </w:r>
          </w:p>
          <w:p w:rsidR="00D32522" w:rsidRDefault="00D32522" w:rsidP="00D3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D32522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OSCAR MENDOZA SANCHEZ</w:t>
            </w:r>
          </w:p>
          <w:p w:rsidR="00425DF0" w:rsidRPr="00EB7BF7" w:rsidRDefault="00D32522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D32522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ALISTREICY OCHOA CHAVEZ</w:t>
            </w:r>
          </w:p>
          <w:p w:rsidR="001F0913" w:rsidRPr="00EB7BF7" w:rsidRDefault="00D32522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ENCARGADA DE LA HACIENDA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D32522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ASEJ2022-17-07-08-2023-1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A7910"/>
    <w:rsid w:val="00CD584F"/>
    <w:rsid w:val="00D2796E"/>
    <w:rsid w:val="00D32522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Ramiro Campos Vazquez</cp:lastModifiedBy>
  <cp:revision>6</cp:revision>
  <dcterms:created xsi:type="dcterms:W3CDTF">2020-05-27T16:02:00Z</dcterms:created>
  <dcterms:modified xsi:type="dcterms:W3CDTF">2023-08-07T16:00:00Z</dcterms:modified>
</cp:coreProperties>
</file>